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99413" w14:textId="77777777" w:rsidR="00C76429" w:rsidRDefault="00C76429" w:rsidP="00C76429">
      <w:pPr>
        <w:pStyle w:val="NormalWeb"/>
        <w:spacing w:before="0" w:beforeAutospacing="0" w:after="0" w:afterAutospacing="0"/>
        <w:jc w:val="both"/>
        <w:rPr>
          <w:rFonts w:ascii="Arial" w:hAnsi="Arial" w:cs="Arial"/>
          <w:sz w:val="22"/>
          <w:szCs w:val="22"/>
        </w:rPr>
      </w:pPr>
      <w:r w:rsidRPr="00731DB9">
        <w:rPr>
          <w:rFonts w:ascii="Arial" w:hAnsi="Arial" w:cs="Arial"/>
          <w:sz w:val="22"/>
          <w:szCs w:val="22"/>
        </w:rPr>
        <w:t xml:space="preserve">Durante el mes de agosto de 2025, la Red de Monitoreo de Calidad del Aire de Bogotá (RMCAB) registró el comportamiento de los contaminantes criterio, establecidos en la Resolución 2254 de 2017 del Ministerio de Ambiente y Desarrollo Sostenible, así como de otros contaminantes, y del comportamiento de variables meteorológicas. A continuación, se presenta un resumen técnico con énfasis en el comportamiento de dichas variables registradas en las 19 estaciones de monitoreo distribuidas en Bogotá, entre el periodo del 01 de agosto a las 01:00 horas hasta 31 de agosto a las </w:t>
      </w:r>
      <w:commentRangeStart w:id="0"/>
      <w:r w:rsidRPr="00A177DB">
        <w:rPr>
          <w:rFonts w:ascii="Arial" w:hAnsi="Arial" w:cs="Arial"/>
          <w:sz w:val="22"/>
          <w:szCs w:val="22"/>
        </w:rPr>
        <w:t>24:00</w:t>
      </w:r>
      <w:r w:rsidRPr="00731DB9">
        <w:rPr>
          <w:rFonts w:ascii="Arial" w:hAnsi="Arial" w:cs="Arial"/>
          <w:sz w:val="22"/>
          <w:szCs w:val="22"/>
        </w:rPr>
        <w:t xml:space="preserve"> </w:t>
      </w:r>
      <w:commentRangeEnd w:id="0"/>
      <w:r w:rsidRPr="00731DB9">
        <w:rPr>
          <w:rStyle w:val="Refdecomentario"/>
          <w:rFonts w:ascii="Arial" w:hAnsi="Arial" w:cs="Arial"/>
          <w:sz w:val="22"/>
          <w:szCs w:val="22"/>
        </w:rPr>
        <w:commentReference w:id="0"/>
      </w:r>
      <w:r w:rsidRPr="00731DB9">
        <w:rPr>
          <w:rFonts w:ascii="Arial" w:hAnsi="Arial" w:cs="Arial"/>
          <w:sz w:val="22"/>
          <w:szCs w:val="22"/>
        </w:rPr>
        <w:t>horas.</w:t>
      </w:r>
    </w:p>
    <w:p w14:paraId="64D28EDE" w14:textId="77777777" w:rsidR="00C76429" w:rsidRPr="00731DB9" w:rsidRDefault="00C76429" w:rsidP="00C76429">
      <w:pPr>
        <w:pStyle w:val="NormalWeb"/>
        <w:spacing w:before="0" w:beforeAutospacing="0" w:after="0" w:afterAutospacing="0"/>
        <w:jc w:val="both"/>
        <w:rPr>
          <w:rFonts w:ascii="Arial" w:hAnsi="Arial" w:cs="Arial"/>
          <w:sz w:val="22"/>
          <w:szCs w:val="22"/>
        </w:rPr>
      </w:pPr>
    </w:p>
    <w:p w14:paraId="7CBFBF20" w14:textId="77777777" w:rsidR="00C76429" w:rsidRPr="00731DB9" w:rsidRDefault="00C76429" w:rsidP="00C76429">
      <w:pPr>
        <w:spacing w:after="0" w:line="240" w:lineRule="auto"/>
        <w:jc w:val="both"/>
        <w:rPr>
          <w:rFonts w:ascii="Arial" w:eastAsia="Times New Roman" w:hAnsi="Arial" w:cs="Arial"/>
        </w:rPr>
      </w:pPr>
      <w:r w:rsidRPr="00731DB9">
        <w:rPr>
          <w:rFonts w:ascii="Arial" w:hAnsi="Arial" w:cs="Arial"/>
          <w:b/>
          <w:i/>
        </w:rPr>
        <w:t>Concentraciones de Material Particulado:</w:t>
      </w:r>
      <w:r w:rsidRPr="00731DB9">
        <w:rPr>
          <w:rFonts w:ascii="Arial" w:hAnsi="Arial" w:cs="Arial"/>
        </w:rPr>
        <w:t xml:space="preserve"> Para el período de análisis</w:t>
      </w:r>
      <w:r w:rsidRPr="00731DB9">
        <w:rPr>
          <w:rFonts w:ascii="Arial" w:eastAsia="Times New Roman" w:hAnsi="Arial" w:cs="Arial"/>
        </w:rPr>
        <w:t>, la mayoría de las estaciones de la RMCAB cumplió con los criterios de representatividad temporal, lo que permitió realizar el análisis del comportamiento de las concentraciones, la elaboración de los mapas de representación espacial y la correspondiente declaración de conformidad.</w:t>
      </w:r>
    </w:p>
    <w:p w14:paraId="63141EB7" w14:textId="77777777" w:rsidR="00C76429" w:rsidRPr="00731DB9" w:rsidRDefault="00C76429" w:rsidP="00C76429">
      <w:pPr>
        <w:spacing w:after="0" w:line="240" w:lineRule="auto"/>
        <w:jc w:val="both"/>
        <w:rPr>
          <w:rFonts w:ascii="Arial" w:eastAsia="Times New Roman" w:hAnsi="Arial" w:cs="Arial"/>
        </w:rPr>
      </w:pPr>
    </w:p>
    <w:p w14:paraId="15EB487F" w14:textId="77777777" w:rsidR="00C76429" w:rsidRPr="00731DB9" w:rsidRDefault="00C76429" w:rsidP="00C76429">
      <w:pPr>
        <w:spacing w:after="0" w:line="240" w:lineRule="auto"/>
        <w:jc w:val="both"/>
        <w:rPr>
          <w:rFonts w:ascii="Arial" w:eastAsia="Times New Roman" w:hAnsi="Arial" w:cs="Arial"/>
        </w:rPr>
      </w:pPr>
      <w:r w:rsidRPr="00731DB9">
        <w:rPr>
          <w:rFonts w:ascii="Arial" w:eastAsia="Times New Roman" w:hAnsi="Arial" w:cs="Arial"/>
          <w:lang w:eastAsia="es-CO"/>
        </w:rPr>
        <w:t>En cuanto a los promedios mensuales, las mayores concentraciones de material particulado se registraron para PM10 en las estaciones Carvajal–Sevillana (60,1 µg/m³) y Móvil Fontibón (46,5 µg/m³). Para PM2.5, los valores más altos se observaron en las estaciones Carvajal–Sevillana (25,8 µg/m³) y Móvil Fontibón (13,2 µg/m³).</w:t>
      </w:r>
    </w:p>
    <w:p w14:paraId="7E48E6D5" w14:textId="77777777" w:rsidR="00C76429" w:rsidRPr="00731DB9" w:rsidRDefault="00C76429" w:rsidP="00C76429">
      <w:pPr>
        <w:spacing w:after="0" w:line="240" w:lineRule="auto"/>
        <w:jc w:val="both"/>
        <w:rPr>
          <w:rFonts w:ascii="Arial" w:eastAsia="Times New Roman" w:hAnsi="Arial" w:cs="Arial"/>
        </w:rPr>
      </w:pPr>
    </w:p>
    <w:p w14:paraId="4DCC6A25" w14:textId="77777777" w:rsidR="00C76429" w:rsidRPr="00731DB9" w:rsidRDefault="00C76429" w:rsidP="00C76429">
      <w:pPr>
        <w:spacing w:after="0" w:line="240" w:lineRule="auto"/>
        <w:jc w:val="both"/>
        <w:rPr>
          <w:rFonts w:ascii="Arial" w:eastAsia="Times New Roman" w:hAnsi="Arial" w:cs="Arial"/>
          <w:color w:val="000000" w:themeColor="text1"/>
        </w:rPr>
      </w:pPr>
      <w:r w:rsidRPr="00731DB9">
        <w:rPr>
          <w:rFonts w:ascii="Arial" w:eastAsia="Times New Roman" w:hAnsi="Arial" w:cs="Arial"/>
          <w:lang w:eastAsia="es-CO"/>
        </w:rPr>
        <w:t>En relación con los valores máximos diarios, la estación Carvajal–Sevillana presentó la mayor concentración de PM10, con 96,5 µg/m³, superando el límite normativo diario de 75 µg/m³. De igual forma, para PM2.5, esta misma estación registró un valor máximo diario de 38,4 µg/m³, excediendo el límite normativo establecido de 37 µg/m³.</w:t>
      </w:r>
    </w:p>
    <w:p w14:paraId="3610F585" w14:textId="77777777" w:rsidR="00C76429" w:rsidRPr="00731DB9" w:rsidRDefault="00C76429" w:rsidP="00C76429">
      <w:pPr>
        <w:spacing w:after="0" w:line="240" w:lineRule="auto"/>
        <w:jc w:val="both"/>
        <w:rPr>
          <w:rFonts w:ascii="Arial" w:hAnsi="Arial" w:cs="Arial"/>
          <w:b/>
          <w:i/>
        </w:rPr>
      </w:pPr>
    </w:p>
    <w:p w14:paraId="43A7AE42" w14:textId="77777777" w:rsidR="00C76429" w:rsidRPr="00731DB9" w:rsidRDefault="00C76429" w:rsidP="00C76429">
      <w:pPr>
        <w:spacing w:after="0" w:line="240" w:lineRule="auto"/>
        <w:jc w:val="both"/>
        <w:rPr>
          <w:rFonts w:ascii="Arial" w:hAnsi="Arial" w:cs="Arial"/>
        </w:rPr>
      </w:pPr>
      <w:r w:rsidRPr="00731DB9">
        <w:rPr>
          <w:rFonts w:ascii="Arial" w:hAnsi="Arial" w:cs="Arial"/>
          <w:b/>
          <w:i/>
        </w:rPr>
        <w:t>Concentraciones de Gases:</w:t>
      </w:r>
      <w:r w:rsidRPr="00731DB9">
        <w:rPr>
          <w:rFonts w:ascii="Arial" w:hAnsi="Arial" w:cs="Arial"/>
        </w:rPr>
        <w:t xml:space="preserve"> </w:t>
      </w:r>
      <w:commentRangeStart w:id="1"/>
      <w:r w:rsidRPr="00731DB9">
        <w:rPr>
          <w:rFonts w:ascii="Arial" w:hAnsi="Arial" w:cs="Arial"/>
        </w:rPr>
        <w:t>Las concentraciones de los contaminantes gaseosos se mantuvieron dentro de los límites normativos, destacándose como valores más altos los registrados para ozono (O</w:t>
      </w:r>
      <w:r w:rsidRPr="00731DB9">
        <w:rPr>
          <w:rFonts w:ascii="Arial" w:hAnsi="Arial" w:cs="Arial"/>
          <w:vertAlign w:val="subscript"/>
        </w:rPr>
        <w:t>3</w:t>
      </w:r>
      <w:r w:rsidRPr="00731DB9">
        <w:rPr>
          <w:rFonts w:ascii="Arial" w:hAnsi="Arial" w:cs="Arial"/>
        </w:rPr>
        <w:t xml:space="preserve">) en la estación </w:t>
      </w:r>
      <w:r w:rsidRPr="00A177DB">
        <w:rPr>
          <w:rFonts w:ascii="Arial" w:hAnsi="Arial" w:cs="Arial"/>
          <w:highlight w:val="yellow"/>
        </w:rPr>
        <w:t>Ciudad Bolívar, donde el promedio móvil de 8 horas alcanzó 30.0 μg/m³;</w:t>
      </w:r>
      <w:r w:rsidRPr="00731DB9">
        <w:rPr>
          <w:rFonts w:ascii="Arial" w:hAnsi="Arial" w:cs="Arial"/>
        </w:rPr>
        <w:t xml:space="preserve"> </w:t>
      </w:r>
      <w:r w:rsidRPr="00A177DB">
        <w:rPr>
          <w:rFonts w:ascii="Arial" w:hAnsi="Arial" w:cs="Arial"/>
          <w:highlight w:val="yellow"/>
        </w:rPr>
        <w:t>para dióxido de azufre (SO</w:t>
      </w:r>
      <w:r w:rsidRPr="00A177DB">
        <w:rPr>
          <w:rFonts w:ascii="Arial" w:hAnsi="Arial" w:cs="Arial"/>
          <w:highlight w:val="yellow"/>
          <w:vertAlign w:val="subscript"/>
        </w:rPr>
        <w:t>2</w:t>
      </w:r>
      <w:r w:rsidRPr="00A177DB">
        <w:rPr>
          <w:rFonts w:ascii="Arial" w:hAnsi="Arial" w:cs="Arial"/>
          <w:highlight w:val="yellow"/>
        </w:rPr>
        <w:t>) en Usme, con un promedio de 24 horas de 7.5 μg/m</w:t>
      </w:r>
      <w:r w:rsidRPr="00731DB9">
        <w:rPr>
          <w:rFonts w:ascii="Arial" w:hAnsi="Arial" w:cs="Arial"/>
        </w:rPr>
        <w:t>³; para dióxido de nitrógeno (NO</w:t>
      </w:r>
      <w:r w:rsidRPr="00731DB9">
        <w:rPr>
          <w:rFonts w:ascii="Arial" w:hAnsi="Arial" w:cs="Arial"/>
          <w:vertAlign w:val="subscript"/>
        </w:rPr>
        <w:t>2</w:t>
      </w:r>
      <w:r w:rsidRPr="00731DB9">
        <w:rPr>
          <w:rFonts w:ascii="Arial" w:hAnsi="Arial" w:cs="Arial"/>
        </w:rPr>
        <w:t xml:space="preserve">) en la estación Puente Aranda, con un valor de 37.1 μg/m³ en el promedio de 24 horas; y para monóxido de carbono (CO) en la estación Kennedy, donde el promedio móvil de 8 horas </w:t>
      </w:r>
      <w:r w:rsidRPr="00A177DB">
        <w:rPr>
          <w:rFonts w:ascii="Arial" w:hAnsi="Arial" w:cs="Arial"/>
          <w:highlight w:val="yellow"/>
        </w:rPr>
        <w:t>alcanzó 567.9</w:t>
      </w:r>
      <w:r w:rsidRPr="00731DB9">
        <w:rPr>
          <w:rFonts w:ascii="Arial" w:hAnsi="Arial" w:cs="Arial"/>
        </w:rPr>
        <w:t xml:space="preserve"> μg/m³.</w:t>
      </w:r>
      <w:commentRangeEnd w:id="1"/>
      <w:r w:rsidRPr="00731DB9">
        <w:rPr>
          <w:rStyle w:val="Refdecomentario"/>
          <w:rFonts w:ascii="Arial" w:hAnsi="Arial" w:cs="Arial"/>
          <w:sz w:val="22"/>
          <w:szCs w:val="22"/>
        </w:rPr>
        <w:commentReference w:id="1"/>
      </w:r>
    </w:p>
    <w:p w14:paraId="12D4E3A2" w14:textId="77777777" w:rsidR="00C76429" w:rsidRPr="00731DB9" w:rsidRDefault="00C76429" w:rsidP="00C76429">
      <w:pPr>
        <w:spacing w:after="0" w:line="240" w:lineRule="auto"/>
        <w:jc w:val="both"/>
        <w:rPr>
          <w:rFonts w:ascii="Arial" w:hAnsi="Arial" w:cs="Arial"/>
        </w:rPr>
      </w:pPr>
    </w:p>
    <w:p w14:paraId="0C2D8689" w14:textId="77777777" w:rsidR="00C76429" w:rsidRDefault="00C76429" w:rsidP="00C76429">
      <w:pPr>
        <w:pStyle w:val="NormalWeb"/>
        <w:spacing w:before="0" w:beforeAutospacing="0" w:after="0" w:afterAutospacing="0"/>
        <w:jc w:val="both"/>
        <w:rPr>
          <w:rFonts w:ascii="Arial" w:hAnsi="Arial" w:cs="Arial"/>
          <w:sz w:val="22"/>
          <w:szCs w:val="22"/>
        </w:rPr>
      </w:pPr>
      <w:r w:rsidRPr="00731DB9">
        <w:rPr>
          <w:rFonts w:ascii="Arial" w:hAnsi="Arial" w:cs="Arial"/>
          <w:b/>
          <w:bCs/>
          <w:i/>
          <w:iCs/>
          <w:sz w:val="22"/>
          <w:szCs w:val="22"/>
        </w:rPr>
        <w:t>Excedencias de los límites máximos establecidos en la Resolución 2254 de 2017</w:t>
      </w:r>
      <w:r w:rsidRPr="00731DB9">
        <w:rPr>
          <w:rFonts w:ascii="Arial" w:hAnsi="Arial" w:cs="Arial"/>
          <w:i/>
          <w:iCs/>
          <w:sz w:val="22"/>
          <w:szCs w:val="22"/>
        </w:rPr>
        <w:t xml:space="preserve">: </w:t>
      </w:r>
      <w:r w:rsidRPr="00731DB9">
        <w:rPr>
          <w:rFonts w:ascii="Arial" w:hAnsi="Arial" w:cs="Arial"/>
          <w:sz w:val="22"/>
          <w:szCs w:val="22"/>
        </w:rPr>
        <w:t>Para PM</w:t>
      </w:r>
      <w:r w:rsidRPr="00731DB9">
        <w:rPr>
          <w:rFonts w:ascii="Arial" w:hAnsi="Arial" w:cs="Arial"/>
          <w:sz w:val="22"/>
          <w:szCs w:val="22"/>
          <w:vertAlign w:val="subscript"/>
        </w:rPr>
        <w:t>10</w:t>
      </w:r>
      <w:r w:rsidRPr="00731DB9">
        <w:rPr>
          <w:rFonts w:ascii="Arial" w:hAnsi="Arial" w:cs="Arial"/>
          <w:sz w:val="22"/>
          <w:szCs w:val="22"/>
        </w:rPr>
        <w:t xml:space="preserve">, se registraron excedencias del límite diario de 75 µg/m³ en la estación Carvajal-Sevillana, con un total </w:t>
      </w:r>
      <w:commentRangeStart w:id="2"/>
      <w:r w:rsidRPr="00731DB9">
        <w:rPr>
          <w:rFonts w:ascii="Arial" w:hAnsi="Arial" w:cs="Arial"/>
          <w:sz w:val="22"/>
          <w:szCs w:val="22"/>
        </w:rPr>
        <w:t>de cuatro eventos</w:t>
      </w:r>
      <w:commentRangeEnd w:id="2"/>
      <w:r w:rsidRPr="00731DB9">
        <w:rPr>
          <w:rStyle w:val="Refdecomentario"/>
          <w:rFonts w:ascii="Arial" w:hAnsi="Arial" w:cs="Arial"/>
          <w:sz w:val="22"/>
          <w:szCs w:val="22"/>
        </w:rPr>
        <w:commentReference w:id="2"/>
      </w:r>
      <w:r w:rsidRPr="00731DB9">
        <w:rPr>
          <w:rFonts w:ascii="Arial" w:hAnsi="Arial" w:cs="Arial"/>
          <w:sz w:val="22"/>
          <w:szCs w:val="22"/>
        </w:rPr>
        <w:t>, lo que evidencia el incumplimiento de la norma diaria. De igual forma, para PM</w:t>
      </w:r>
      <w:r w:rsidRPr="00731DB9">
        <w:rPr>
          <w:rFonts w:ascii="Arial" w:hAnsi="Arial" w:cs="Arial"/>
          <w:sz w:val="22"/>
          <w:szCs w:val="22"/>
          <w:vertAlign w:val="subscript"/>
        </w:rPr>
        <w:t>2.5</w:t>
      </w:r>
      <w:r w:rsidRPr="00731DB9">
        <w:rPr>
          <w:rFonts w:ascii="Arial" w:hAnsi="Arial" w:cs="Arial"/>
          <w:sz w:val="22"/>
          <w:szCs w:val="22"/>
        </w:rPr>
        <w:t xml:space="preserve"> se presentaron dos eventos que superaron el límite diario de 37 µg/m³.</w:t>
      </w:r>
    </w:p>
    <w:p w14:paraId="50CC7F21" w14:textId="77777777" w:rsidR="00C76429" w:rsidRPr="00731DB9" w:rsidRDefault="00C76429" w:rsidP="00C76429">
      <w:pPr>
        <w:pStyle w:val="NormalWeb"/>
        <w:spacing w:before="0" w:beforeAutospacing="0" w:after="0" w:afterAutospacing="0"/>
        <w:jc w:val="both"/>
        <w:rPr>
          <w:rFonts w:ascii="Arial" w:hAnsi="Arial" w:cs="Arial"/>
          <w:sz w:val="22"/>
          <w:szCs w:val="22"/>
        </w:rPr>
      </w:pPr>
    </w:p>
    <w:p w14:paraId="498EF097" w14:textId="77777777" w:rsidR="00C76429" w:rsidRDefault="00C76429" w:rsidP="00C76429">
      <w:pPr>
        <w:spacing w:after="0" w:line="240" w:lineRule="auto"/>
        <w:jc w:val="both"/>
        <w:rPr>
          <w:rFonts w:ascii="Arial" w:eastAsia="Times New Roman" w:hAnsi="Arial" w:cs="Arial"/>
          <w:lang w:eastAsia="es-CO"/>
        </w:rPr>
      </w:pPr>
      <w:r w:rsidRPr="00664C89">
        <w:rPr>
          <w:rFonts w:ascii="Arial" w:eastAsia="Times New Roman" w:hAnsi="Arial" w:cs="Arial"/>
          <w:lang w:eastAsia="es-CO"/>
        </w:rPr>
        <w:t>Por su parte, para los contaminantes gaseosos (</w:t>
      </w:r>
      <w:r w:rsidRPr="00731DB9">
        <w:rPr>
          <w:rFonts w:ascii="Arial" w:eastAsia="Times New Roman" w:hAnsi="Arial" w:cs="Arial"/>
          <w:lang w:eastAsia="es-CO"/>
        </w:rPr>
        <w:t>O</w:t>
      </w:r>
      <w:r w:rsidRPr="00731DB9">
        <w:rPr>
          <w:rFonts w:ascii="Arial" w:eastAsia="Times New Roman" w:hAnsi="Arial" w:cs="Arial"/>
          <w:vertAlign w:val="subscript"/>
          <w:lang w:eastAsia="es-CO"/>
        </w:rPr>
        <w:t>3</w:t>
      </w:r>
      <w:r w:rsidRPr="00664C89">
        <w:rPr>
          <w:rFonts w:ascii="Arial" w:eastAsia="Times New Roman" w:hAnsi="Arial" w:cs="Arial"/>
          <w:lang w:eastAsia="es-CO"/>
        </w:rPr>
        <w:t xml:space="preserve">, </w:t>
      </w:r>
      <w:r w:rsidRPr="00731DB9">
        <w:rPr>
          <w:rFonts w:ascii="Arial" w:eastAsia="Times New Roman" w:hAnsi="Arial" w:cs="Arial"/>
          <w:lang w:eastAsia="es-CO"/>
        </w:rPr>
        <w:t>SO</w:t>
      </w:r>
      <w:r w:rsidRPr="00731DB9">
        <w:rPr>
          <w:rFonts w:ascii="Arial" w:eastAsia="Times New Roman" w:hAnsi="Arial" w:cs="Arial"/>
          <w:vertAlign w:val="subscript"/>
          <w:lang w:eastAsia="es-CO"/>
        </w:rPr>
        <w:t>2</w:t>
      </w:r>
      <w:r w:rsidRPr="00664C89">
        <w:rPr>
          <w:rFonts w:ascii="Arial" w:eastAsia="Times New Roman" w:hAnsi="Arial" w:cs="Arial"/>
          <w:lang w:eastAsia="es-CO"/>
        </w:rPr>
        <w:t>, CO y N</w:t>
      </w:r>
      <w:r w:rsidRPr="00731DB9">
        <w:rPr>
          <w:rFonts w:ascii="Arial" w:eastAsia="Times New Roman" w:hAnsi="Arial" w:cs="Arial"/>
          <w:lang w:eastAsia="es-CO"/>
        </w:rPr>
        <w:t>O</w:t>
      </w:r>
      <w:r w:rsidRPr="00731DB9">
        <w:rPr>
          <w:rFonts w:ascii="Arial" w:eastAsia="Times New Roman" w:hAnsi="Arial" w:cs="Arial"/>
          <w:vertAlign w:val="subscript"/>
          <w:lang w:eastAsia="es-CO"/>
        </w:rPr>
        <w:t>2</w:t>
      </w:r>
      <w:r w:rsidRPr="00664C89">
        <w:rPr>
          <w:rFonts w:ascii="Arial" w:eastAsia="Times New Roman" w:hAnsi="Arial" w:cs="Arial"/>
          <w:lang w:eastAsia="es-CO"/>
        </w:rPr>
        <w:t>) no se reportaron excedencias de los límites normativos durante el mes, por lo que se dio cumplimiento a la normativa vigente para estos contaminantes.</w:t>
      </w:r>
    </w:p>
    <w:p w14:paraId="7A4ABEDF" w14:textId="77777777" w:rsidR="00C76429" w:rsidRPr="00664C89" w:rsidRDefault="00C76429" w:rsidP="00C76429">
      <w:pPr>
        <w:spacing w:after="0" w:line="240" w:lineRule="auto"/>
        <w:jc w:val="both"/>
        <w:rPr>
          <w:rFonts w:ascii="Arial" w:eastAsia="Times New Roman" w:hAnsi="Arial" w:cs="Arial"/>
          <w:lang w:eastAsia="es-CO"/>
        </w:rPr>
      </w:pPr>
    </w:p>
    <w:p w14:paraId="0BB09AE3" w14:textId="77777777" w:rsidR="00C76429" w:rsidRPr="00731DB9" w:rsidRDefault="00C76429" w:rsidP="00C76429">
      <w:pPr>
        <w:spacing w:after="0" w:line="240" w:lineRule="auto"/>
        <w:jc w:val="both"/>
        <w:rPr>
          <w:rFonts w:ascii="Arial" w:hAnsi="Arial" w:cs="Arial"/>
        </w:rPr>
      </w:pPr>
      <w:r w:rsidRPr="00731DB9">
        <w:rPr>
          <w:rFonts w:ascii="Arial" w:hAnsi="Arial" w:cs="Arial"/>
          <w:b/>
          <w:i/>
        </w:rPr>
        <w:t>Representatividad de los datos:</w:t>
      </w:r>
      <w:r w:rsidRPr="00731DB9">
        <w:rPr>
          <w:rFonts w:ascii="Arial" w:hAnsi="Arial" w:cs="Arial"/>
        </w:rPr>
        <w:t xml:space="preserve"> En lo referente a la representatividad temporal de los datos de gases durante agosto de 2025, varias estaciones no cumplieron con el criterio mínimo del 75% de datos válidos; sin embargo, la invalidación de los datos es un proceso de aseguramiento de la calidad de la información. Este procedimiento garantiza la confiabilidad de los datos reportados por la red, sin que ello afecte la validez general ni la continuidad del análisis de la calidad del aire en la ciudad.</w:t>
      </w:r>
    </w:p>
    <w:p w14:paraId="1132BBA0" w14:textId="77777777" w:rsidR="00C76429" w:rsidRPr="00731DB9" w:rsidRDefault="00C76429" w:rsidP="00C76429">
      <w:pPr>
        <w:spacing w:after="0" w:line="240" w:lineRule="auto"/>
        <w:jc w:val="both"/>
        <w:rPr>
          <w:rFonts w:ascii="Arial" w:hAnsi="Arial" w:cs="Arial"/>
          <w:b/>
          <w:bCs/>
          <w:iCs/>
        </w:rPr>
      </w:pPr>
    </w:p>
    <w:p w14:paraId="6254B5B3" w14:textId="77777777" w:rsidR="00C76429" w:rsidRPr="00731DB9" w:rsidRDefault="00C76429" w:rsidP="00C76429">
      <w:pPr>
        <w:spacing w:after="0" w:line="240" w:lineRule="auto"/>
        <w:jc w:val="both"/>
        <w:rPr>
          <w:rFonts w:ascii="Arial" w:hAnsi="Arial" w:cs="Arial"/>
        </w:rPr>
      </w:pPr>
      <w:r w:rsidRPr="00731DB9">
        <w:rPr>
          <w:rFonts w:ascii="Arial" w:hAnsi="Arial" w:cs="Arial"/>
        </w:rPr>
        <w:t xml:space="preserve">A continuación, se relacionan los parámetros que no cumplieron la representatividad temporal en cada una de las estaciones: </w:t>
      </w:r>
    </w:p>
    <w:p w14:paraId="66CB864A" w14:textId="77777777" w:rsidR="00C76429" w:rsidRPr="00731DB9" w:rsidRDefault="00C76429" w:rsidP="00C76429">
      <w:pPr>
        <w:spacing w:after="0" w:line="240" w:lineRule="auto"/>
        <w:jc w:val="both"/>
        <w:rPr>
          <w:rFonts w:ascii="Arial" w:hAnsi="Arial" w:cs="Arial"/>
        </w:rPr>
      </w:pPr>
    </w:p>
    <w:p w14:paraId="28EBC529" w14:textId="77777777" w:rsidR="00C76429" w:rsidRPr="00731DB9" w:rsidRDefault="00C76429" w:rsidP="00C76429">
      <w:pPr>
        <w:pStyle w:val="Prrafodelista"/>
        <w:widowControl w:val="0"/>
        <w:numPr>
          <w:ilvl w:val="0"/>
          <w:numId w:val="1"/>
        </w:numPr>
        <w:spacing w:after="0" w:line="240" w:lineRule="auto"/>
        <w:ind w:left="284" w:right="-93" w:hanging="284"/>
        <w:jc w:val="both"/>
        <w:rPr>
          <w:rFonts w:cs="Arial"/>
          <w:i/>
        </w:rPr>
      </w:pPr>
      <w:r w:rsidRPr="00731DB9">
        <w:rPr>
          <w:rFonts w:eastAsia="Arial" w:cs="Arial"/>
          <w:iCs/>
        </w:rPr>
        <w:lastRenderedPageBreak/>
        <w:t>Fontibón para O</w:t>
      </w:r>
      <w:r w:rsidRPr="00731DB9">
        <w:rPr>
          <w:rFonts w:eastAsia="Arial" w:cs="Arial"/>
          <w:iCs/>
          <w:vertAlign w:val="subscript"/>
        </w:rPr>
        <w:t>3</w:t>
      </w:r>
      <w:r w:rsidRPr="00731DB9">
        <w:rPr>
          <w:rFonts w:eastAsia="Arial" w:cs="Arial"/>
          <w:iCs/>
        </w:rPr>
        <w:t xml:space="preserve"> con (</w:t>
      </w:r>
      <w:commentRangeStart w:id="3"/>
      <w:r w:rsidRPr="00731DB9">
        <w:rPr>
          <w:rFonts w:eastAsia="Arial" w:cs="Arial"/>
          <w:iCs/>
        </w:rPr>
        <w:t>35%), SO</w:t>
      </w:r>
      <w:r w:rsidRPr="00731DB9">
        <w:rPr>
          <w:rFonts w:eastAsia="Arial" w:cs="Arial"/>
          <w:iCs/>
          <w:vertAlign w:val="subscript"/>
        </w:rPr>
        <w:t xml:space="preserve">2 </w:t>
      </w:r>
      <w:r w:rsidRPr="00731DB9">
        <w:rPr>
          <w:rFonts w:eastAsia="Arial" w:cs="Arial"/>
          <w:iCs/>
        </w:rPr>
        <w:t>con (35%), NO</w:t>
      </w:r>
      <w:r w:rsidRPr="00731DB9">
        <w:rPr>
          <w:rFonts w:eastAsia="Arial" w:cs="Arial"/>
          <w:iCs/>
          <w:vertAlign w:val="subscript"/>
        </w:rPr>
        <w:t xml:space="preserve">2 </w:t>
      </w:r>
      <w:r w:rsidRPr="00731DB9">
        <w:rPr>
          <w:rFonts w:eastAsia="Arial" w:cs="Arial"/>
          <w:iCs/>
        </w:rPr>
        <w:t>con (35%) y CO con (35%)</w:t>
      </w:r>
      <w:commentRangeEnd w:id="3"/>
      <w:r w:rsidRPr="00731DB9">
        <w:rPr>
          <w:rStyle w:val="Refdecomentario"/>
          <w:rFonts w:cs="Arial"/>
          <w:i/>
          <w:sz w:val="22"/>
          <w:szCs w:val="22"/>
        </w:rPr>
        <w:commentReference w:id="3"/>
      </w:r>
    </w:p>
    <w:p w14:paraId="77F78E88" w14:textId="77777777" w:rsidR="00C76429" w:rsidRPr="00731DB9" w:rsidRDefault="00C76429" w:rsidP="00C76429">
      <w:pPr>
        <w:pStyle w:val="Prrafodelista"/>
        <w:widowControl w:val="0"/>
        <w:numPr>
          <w:ilvl w:val="0"/>
          <w:numId w:val="1"/>
        </w:numPr>
        <w:spacing w:after="0" w:line="240" w:lineRule="auto"/>
        <w:ind w:left="284" w:right="-93" w:hanging="284"/>
        <w:jc w:val="both"/>
        <w:rPr>
          <w:rStyle w:val="normaltextrun"/>
          <w:rFonts w:cs="Arial"/>
          <w:i/>
        </w:rPr>
      </w:pPr>
      <w:r w:rsidRPr="00731DB9">
        <w:rPr>
          <w:rFonts w:eastAsia="Times New Roman" w:cs="Arial"/>
          <w:lang w:eastAsia="es-MX"/>
        </w:rPr>
        <w:t>Guaymaral para O</w:t>
      </w:r>
      <w:r w:rsidRPr="00731DB9">
        <w:rPr>
          <w:rFonts w:eastAsia="Times New Roman" w:cs="Arial"/>
          <w:vertAlign w:val="subscript"/>
          <w:lang w:eastAsia="es-MX"/>
        </w:rPr>
        <w:t>3</w:t>
      </w:r>
      <w:r w:rsidRPr="00731DB9">
        <w:rPr>
          <w:rFonts w:eastAsia="Times New Roman" w:cs="Arial"/>
          <w:lang w:eastAsia="es-MX"/>
        </w:rPr>
        <w:t xml:space="preserve"> con (55%), SO</w:t>
      </w:r>
      <w:r w:rsidRPr="00731DB9">
        <w:rPr>
          <w:rFonts w:eastAsia="Times New Roman" w:cs="Arial"/>
          <w:vertAlign w:val="subscript"/>
          <w:lang w:eastAsia="es-MX"/>
        </w:rPr>
        <w:t>2</w:t>
      </w:r>
      <w:r w:rsidRPr="00731DB9">
        <w:rPr>
          <w:rFonts w:eastAsia="Times New Roman" w:cs="Arial"/>
          <w:lang w:eastAsia="es-MX"/>
        </w:rPr>
        <w:t xml:space="preserve"> con (37%), NO</w:t>
      </w:r>
      <w:r w:rsidRPr="00731DB9">
        <w:rPr>
          <w:rFonts w:eastAsia="Times New Roman" w:cs="Arial"/>
          <w:vertAlign w:val="subscript"/>
          <w:lang w:eastAsia="es-MX"/>
        </w:rPr>
        <w:t>2</w:t>
      </w:r>
      <w:r w:rsidRPr="00731DB9">
        <w:rPr>
          <w:rFonts w:eastAsia="Times New Roman" w:cs="Arial"/>
          <w:lang w:eastAsia="es-MX"/>
        </w:rPr>
        <w:t xml:space="preserve"> con (48%), y CO con (37%)</w:t>
      </w:r>
      <w:r w:rsidRPr="00731DB9">
        <w:rPr>
          <w:rStyle w:val="normaltextrun"/>
          <w:rFonts w:cs="Arial"/>
        </w:rPr>
        <w:t>,</w:t>
      </w:r>
    </w:p>
    <w:p w14:paraId="6F23F309" w14:textId="77777777" w:rsidR="00C76429" w:rsidRPr="00731DB9" w:rsidRDefault="00C76429" w:rsidP="00C76429">
      <w:pPr>
        <w:pStyle w:val="Prrafodelista"/>
        <w:widowControl w:val="0"/>
        <w:numPr>
          <w:ilvl w:val="0"/>
          <w:numId w:val="1"/>
        </w:numPr>
        <w:spacing w:after="0" w:line="240" w:lineRule="auto"/>
        <w:ind w:left="284" w:right="-93" w:hanging="284"/>
        <w:jc w:val="both"/>
        <w:rPr>
          <w:rFonts w:cs="Arial"/>
          <w:i/>
        </w:rPr>
      </w:pPr>
      <w:r w:rsidRPr="00731DB9">
        <w:rPr>
          <w:rFonts w:eastAsia="Times New Roman" w:cs="Arial"/>
          <w:lang w:eastAsia="es-MX"/>
        </w:rPr>
        <w:t>Colina para O</w:t>
      </w:r>
      <w:r w:rsidRPr="00731DB9">
        <w:rPr>
          <w:rFonts w:eastAsia="Times New Roman" w:cs="Arial"/>
          <w:vertAlign w:val="subscript"/>
          <w:lang w:eastAsia="es-MX"/>
        </w:rPr>
        <w:t>3</w:t>
      </w:r>
      <w:r w:rsidRPr="00731DB9">
        <w:rPr>
          <w:rFonts w:eastAsia="Times New Roman" w:cs="Arial"/>
          <w:lang w:eastAsia="es-MX"/>
        </w:rPr>
        <w:t xml:space="preserve"> con (35%), SO2 con (71%) y NO2 con </w:t>
      </w:r>
      <w:r w:rsidRPr="00731DB9">
        <w:rPr>
          <w:rFonts w:eastAsia="Arial" w:cs="Arial"/>
          <w:iCs/>
        </w:rPr>
        <w:t>(74%)</w:t>
      </w:r>
    </w:p>
    <w:p w14:paraId="512F953B" w14:textId="77777777" w:rsidR="00C76429" w:rsidRPr="00731DB9" w:rsidRDefault="00C76429" w:rsidP="00C76429">
      <w:pPr>
        <w:pStyle w:val="Prrafodelista"/>
        <w:widowControl w:val="0"/>
        <w:numPr>
          <w:ilvl w:val="0"/>
          <w:numId w:val="1"/>
        </w:numPr>
        <w:spacing w:after="0" w:line="240" w:lineRule="auto"/>
        <w:ind w:left="284" w:right="-93" w:hanging="284"/>
        <w:jc w:val="both"/>
        <w:rPr>
          <w:rFonts w:cs="Arial"/>
          <w:i/>
        </w:rPr>
      </w:pPr>
      <w:r w:rsidRPr="00731DB9">
        <w:rPr>
          <w:rFonts w:eastAsia="Arial" w:cs="Arial"/>
          <w:iCs/>
        </w:rPr>
        <w:t xml:space="preserve"> Sevillana para SO</w:t>
      </w:r>
      <w:r w:rsidRPr="00731DB9">
        <w:rPr>
          <w:rFonts w:eastAsia="Arial" w:cs="Arial"/>
          <w:iCs/>
          <w:vertAlign w:val="subscript"/>
        </w:rPr>
        <w:t>2</w:t>
      </w:r>
      <w:r w:rsidRPr="00731DB9">
        <w:rPr>
          <w:rFonts w:eastAsia="Arial" w:cs="Arial"/>
          <w:iCs/>
        </w:rPr>
        <w:t xml:space="preserve"> con (68%) y CO con (53%) CDAR para SO</w:t>
      </w:r>
      <w:r w:rsidRPr="00731DB9">
        <w:rPr>
          <w:rFonts w:eastAsia="Arial" w:cs="Arial"/>
          <w:iCs/>
          <w:vertAlign w:val="subscript"/>
        </w:rPr>
        <w:t xml:space="preserve">2 </w:t>
      </w:r>
      <w:r w:rsidRPr="00731DB9">
        <w:rPr>
          <w:rFonts w:eastAsia="Arial" w:cs="Arial"/>
          <w:iCs/>
        </w:rPr>
        <w:t xml:space="preserve">con (45%) y </w:t>
      </w:r>
    </w:p>
    <w:p w14:paraId="297CE71B" w14:textId="77777777" w:rsidR="00C76429" w:rsidRPr="00731DB9" w:rsidRDefault="00C76429" w:rsidP="00C76429">
      <w:pPr>
        <w:pStyle w:val="Prrafodelista"/>
        <w:widowControl w:val="0"/>
        <w:numPr>
          <w:ilvl w:val="0"/>
          <w:numId w:val="1"/>
        </w:numPr>
        <w:spacing w:after="0" w:line="240" w:lineRule="auto"/>
        <w:ind w:left="284" w:right="-93" w:hanging="284"/>
        <w:jc w:val="both"/>
        <w:rPr>
          <w:rFonts w:cs="Arial"/>
          <w:i/>
        </w:rPr>
      </w:pPr>
      <w:r w:rsidRPr="00731DB9">
        <w:rPr>
          <w:rFonts w:eastAsia="Arial" w:cs="Arial"/>
          <w:iCs/>
        </w:rPr>
        <w:t xml:space="preserve">San Cristóbal para </w:t>
      </w:r>
      <w:r w:rsidRPr="00A177DB">
        <w:rPr>
          <w:rFonts w:eastAsia="Arial" w:cs="Arial"/>
          <w:iCs/>
          <w:highlight w:val="yellow"/>
        </w:rPr>
        <w:t>SO</w:t>
      </w:r>
      <w:r w:rsidRPr="00A177DB">
        <w:rPr>
          <w:rFonts w:eastAsia="Arial" w:cs="Arial"/>
          <w:iCs/>
          <w:highlight w:val="yellow"/>
          <w:vertAlign w:val="subscript"/>
        </w:rPr>
        <w:t>2</w:t>
      </w:r>
      <w:r w:rsidRPr="00A177DB">
        <w:rPr>
          <w:rFonts w:eastAsia="Arial" w:cs="Arial"/>
          <w:iCs/>
          <w:highlight w:val="yellow"/>
        </w:rPr>
        <w:t xml:space="preserve"> con (45%) por </w:t>
      </w:r>
      <w:commentRangeStart w:id="4"/>
      <w:r w:rsidRPr="00A177DB">
        <w:rPr>
          <w:rFonts w:eastAsia="Times New Roman" w:cs="Arial"/>
          <w:highlight w:val="yellow"/>
          <w:lang w:eastAsia="es-MX"/>
        </w:rPr>
        <w:t>invalidación de</w:t>
      </w:r>
      <w:r w:rsidRPr="00731DB9">
        <w:rPr>
          <w:rFonts w:eastAsia="Times New Roman" w:cs="Arial"/>
          <w:lang w:eastAsia="es-MX"/>
        </w:rPr>
        <w:t xml:space="preserve"> </w:t>
      </w:r>
      <w:commentRangeEnd w:id="4"/>
      <w:r w:rsidRPr="00731DB9">
        <w:rPr>
          <w:rStyle w:val="Refdecomentario"/>
          <w:rFonts w:eastAsia="Arial" w:cs="Arial"/>
          <w:iCs/>
          <w:sz w:val="22"/>
          <w:szCs w:val="22"/>
        </w:rPr>
        <w:commentReference w:id="4"/>
      </w:r>
      <w:r w:rsidRPr="00731DB9">
        <w:rPr>
          <w:rFonts w:eastAsia="Arial" w:cs="Arial"/>
          <w:iCs/>
        </w:rPr>
        <w:t xml:space="preserve">y </w:t>
      </w:r>
    </w:p>
    <w:p w14:paraId="37BAB526" w14:textId="77777777" w:rsidR="00C76429" w:rsidRPr="00731DB9" w:rsidRDefault="00C76429" w:rsidP="00C76429">
      <w:pPr>
        <w:pStyle w:val="Prrafodelista"/>
        <w:widowControl w:val="0"/>
        <w:numPr>
          <w:ilvl w:val="0"/>
          <w:numId w:val="1"/>
        </w:numPr>
        <w:spacing w:after="0" w:line="240" w:lineRule="auto"/>
        <w:ind w:left="284" w:right="-93" w:hanging="284"/>
        <w:jc w:val="both"/>
        <w:rPr>
          <w:rFonts w:cs="Arial"/>
          <w:i/>
        </w:rPr>
      </w:pPr>
      <w:r w:rsidRPr="00731DB9">
        <w:rPr>
          <w:rFonts w:eastAsia="Arial" w:cs="Arial"/>
          <w:iCs/>
        </w:rPr>
        <w:t xml:space="preserve">Móvil Fontibón para </w:t>
      </w:r>
      <w:r w:rsidRPr="00A177DB">
        <w:rPr>
          <w:rFonts w:eastAsia="Arial" w:cs="Arial"/>
          <w:iCs/>
          <w:highlight w:val="yellow"/>
        </w:rPr>
        <w:t>NO2 con (16%) y CO con (17%)</w:t>
      </w:r>
      <w:r w:rsidRPr="00731DB9">
        <w:rPr>
          <w:rFonts w:eastAsia="Arial" w:cs="Arial"/>
          <w:iCs/>
        </w:rPr>
        <w:t xml:space="preserve"> </w:t>
      </w:r>
    </w:p>
    <w:p w14:paraId="10C45171" w14:textId="77777777" w:rsidR="00C76429" w:rsidRPr="00731DB9" w:rsidRDefault="00C76429" w:rsidP="00C76429">
      <w:pPr>
        <w:widowControl w:val="0"/>
        <w:spacing w:after="0" w:line="240" w:lineRule="auto"/>
        <w:ind w:right="-93"/>
        <w:jc w:val="both"/>
        <w:rPr>
          <w:rFonts w:ascii="Arial" w:hAnsi="Arial" w:cs="Arial"/>
        </w:rPr>
      </w:pPr>
    </w:p>
    <w:p w14:paraId="56751F56" w14:textId="77777777" w:rsidR="00C76429" w:rsidRPr="00731DB9" w:rsidRDefault="00C76429" w:rsidP="00C76429">
      <w:pPr>
        <w:widowControl w:val="0"/>
        <w:shd w:val="clear" w:color="auto" w:fill="FFFF00"/>
        <w:spacing w:after="0" w:line="240" w:lineRule="auto"/>
        <w:ind w:right="-93"/>
        <w:jc w:val="both"/>
        <w:rPr>
          <w:rFonts w:ascii="Arial" w:hAnsi="Arial" w:cs="Arial"/>
        </w:rPr>
      </w:pPr>
      <w:commentRangeStart w:id="5"/>
      <w:r w:rsidRPr="00731DB9">
        <w:rPr>
          <w:rFonts w:ascii="Arial" w:hAnsi="Arial" w:cs="Arial"/>
        </w:rPr>
        <w:t>Las principales causas identificadas para la invalidación de datos incluyen:</w:t>
      </w:r>
      <w:r w:rsidRPr="00731DB9">
        <w:rPr>
          <w:rStyle w:val="normaltextrun"/>
          <w:rFonts w:ascii="Arial" w:hAnsi="Arial" w:cs="Arial"/>
        </w:rPr>
        <w:t xml:space="preserve"> por falta de control de temperatura interna de la estación, </w:t>
      </w:r>
      <w:r w:rsidRPr="00731DB9">
        <w:rPr>
          <w:rFonts w:ascii="Arial" w:eastAsia="Times New Roman" w:hAnsi="Arial" w:cs="Arial"/>
          <w:lang w:eastAsia="es-MX"/>
        </w:rPr>
        <w:t xml:space="preserve">datos que estaban por debajo del límite de detección, por la desviación estándar de temperatura interna; y por </w:t>
      </w:r>
      <w:r w:rsidRPr="00731DB9">
        <w:rPr>
          <w:rStyle w:val="normaltextrun"/>
          <w:rFonts w:ascii="Arial" w:hAnsi="Arial" w:cs="Arial"/>
        </w:rPr>
        <w:t>falta de calibración del sensor de temperatura interna de la estación.</w:t>
      </w:r>
      <w:commentRangeEnd w:id="5"/>
      <w:r w:rsidRPr="00731DB9">
        <w:rPr>
          <w:rStyle w:val="Refdecomentario"/>
          <w:rFonts w:ascii="Arial" w:hAnsi="Arial" w:cs="Arial"/>
          <w:sz w:val="22"/>
          <w:szCs w:val="22"/>
        </w:rPr>
        <w:commentReference w:id="5"/>
      </w:r>
    </w:p>
    <w:p w14:paraId="6640046D" w14:textId="77777777" w:rsidR="00C76429" w:rsidRPr="00731DB9" w:rsidRDefault="00C76429" w:rsidP="00C76429">
      <w:pPr>
        <w:spacing w:after="0" w:line="240" w:lineRule="auto"/>
        <w:jc w:val="both"/>
        <w:rPr>
          <w:rFonts w:ascii="Arial" w:hAnsi="Arial" w:cs="Arial"/>
        </w:rPr>
      </w:pPr>
    </w:p>
    <w:p w14:paraId="40F6AFCD" w14:textId="77777777" w:rsidR="00C76429" w:rsidRPr="00C76429" w:rsidRDefault="00C76429" w:rsidP="00C76429">
      <w:pPr>
        <w:pStyle w:val="Ttulo1"/>
        <w:tabs>
          <w:tab w:val="left" w:pos="708"/>
        </w:tabs>
        <w:jc w:val="both"/>
        <w:rPr>
          <w:rFonts w:ascii="Arial" w:eastAsia="Calibri" w:hAnsi="Arial" w:cs="Arial"/>
          <w:color w:val="auto"/>
          <w:sz w:val="22"/>
          <w:szCs w:val="22"/>
        </w:rPr>
      </w:pPr>
      <w:bookmarkStart w:id="6" w:name="_Toc216434386"/>
      <w:r w:rsidRPr="00C76429">
        <w:rPr>
          <w:rFonts w:ascii="Arial" w:eastAsia="Calibri" w:hAnsi="Arial" w:cs="Arial"/>
          <w:b/>
          <w:i/>
          <w:color w:val="auto"/>
          <w:sz w:val="22"/>
          <w:szCs w:val="22"/>
        </w:rPr>
        <w:t>Comportamiento de Contaminante Black Carbon:</w:t>
      </w:r>
      <w:r w:rsidRPr="00731DB9">
        <w:rPr>
          <w:rFonts w:cs="Arial"/>
          <w:color w:val="000000" w:themeColor="text1"/>
          <w:szCs w:val="22"/>
        </w:rPr>
        <w:t xml:space="preserve"> </w:t>
      </w:r>
      <w:r w:rsidRPr="00C76429">
        <w:rPr>
          <w:rFonts w:ascii="Arial" w:eastAsia="Calibri" w:hAnsi="Arial" w:cs="Arial"/>
          <w:color w:val="auto"/>
          <w:sz w:val="22"/>
          <w:szCs w:val="22"/>
        </w:rPr>
        <w:t>La concentración promedio a nivel ciudad fue de 2.5 µg/m3. Las estaciones con mayores concentraciones promedio fueron Kennedy con un registro de 4.2 µg/m3, Fontibón con 2.9 µg/m3, Tunal y Ciudad Bolívar con un valor de 2.7 µg/m3, seguido de CDAR con 2.4 µg/m3, Puente Aranda con un promedio de 1.4 µg/m3, mientras que la mínima concentración promedio se presentó en San Cristóbal con 0.9 µg/m3. Con relación al perfil horario, la concentración muestra un patrón monomodal en la mayoría de las estaciones, con un pico entre las 7:00 a.m. y 8:00 a.m., asociado al aumento del tráfico vehicular durante las horas pico. La estación de Kennedy presenta las concentraciones más altas con 8.4 µg/m³ a las 7:00 a.m. mientras que San Cristóbal muestra los menores valores con 2.2 µg/m³.</w:t>
      </w:r>
      <w:bookmarkEnd w:id="6"/>
    </w:p>
    <w:p w14:paraId="52C31C05" w14:textId="77777777" w:rsidR="00C76429" w:rsidRPr="00C76429" w:rsidRDefault="00C76429" w:rsidP="00C76429">
      <w:pPr>
        <w:spacing w:after="0" w:line="240" w:lineRule="auto"/>
        <w:jc w:val="both"/>
        <w:rPr>
          <w:rFonts w:ascii="Arial" w:hAnsi="Arial" w:cs="Arial"/>
        </w:rPr>
      </w:pPr>
    </w:p>
    <w:p w14:paraId="2216CFC6" w14:textId="77777777" w:rsidR="00C76429" w:rsidRPr="00731DB9" w:rsidRDefault="00C76429" w:rsidP="00C76429">
      <w:pPr>
        <w:spacing w:after="0" w:line="240" w:lineRule="auto"/>
        <w:jc w:val="both"/>
        <w:rPr>
          <w:rFonts w:ascii="Arial" w:eastAsia="Arial" w:hAnsi="Arial" w:cs="Arial"/>
        </w:rPr>
      </w:pPr>
      <w:r w:rsidRPr="00731DB9">
        <w:rPr>
          <w:rFonts w:ascii="Arial" w:hAnsi="Arial" w:cs="Arial"/>
          <w:b/>
          <w:i/>
        </w:rPr>
        <w:t>Índice Bogotano de Calidad del Aire – IBOCA:</w:t>
      </w:r>
      <w:r w:rsidRPr="00731DB9">
        <w:rPr>
          <w:rFonts w:ascii="Arial" w:hAnsi="Arial" w:cs="Arial"/>
        </w:rPr>
        <w:t xml:space="preserve"> Para este mes, </w:t>
      </w:r>
      <w:r w:rsidRPr="00731DB9">
        <w:rPr>
          <w:rFonts w:ascii="Arial" w:eastAsia="Arial" w:hAnsi="Arial" w:cs="Arial"/>
        </w:rPr>
        <w:t>fue calculado a partir de los datos prevalidados</w:t>
      </w:r>
      <w:r w:rsidRPr="00731DB9">
        <w:rPr>
          <w:rFonts w:ascii="Arial" w:hAnsi="Arial" w:cs="Arial"/>
        </w:rPr>
        <w:t xml:space="preserve"> de los </w:t>
      </w:r>
      <w:r w:rsidRPr="00731DB9">
        <w:rPr>
          <w:rFonts w:ascii="Arial" w:eastAsia="Arial" w:hAnsi="Arial" w:cs="Arial"/>
        </w:rPr>
        <w:t>contaminantes condicionantes PM</w:t>
      </w:r>
      <w:r w:rsidRPr="00731DB9">
        <w:rPr>
          <w:rFonts w:ascii="Arial" w:eastAsia="Arial" w:hAnsi="Arial" w:cs="Arial"/>
          <w:vertAlign w:val="subscript"/>
        </w:rPr>
        <w:t xml:space="preserve">10 </w:t>
      </w:r>
      <w:r w:rsidRPr="00731DB9">
        <w:rPr>
          <w:rFonts w:ascii="Arial" w:eastAsia="Arial" w:hAnsi="Arial" w:cs="Arial"/>
        </w:rPr>
        <w:t>y PM</w:t>
      </w:r>
      <w:r w:rsidRPr="00731DB9">
        <w:rPr>
          <w:rFonts w:ascii="Arial" w:eastAsia="Arial" w:hAnsi="Arial" w:cs="Arial"/>
          <w:vertAlign w:val="subscript"/>
        </w:rPr>
        <w:t>2.5</w:t>
      </w:r>
      <w:r w:rsidRPr="00731DB9">
        <w:rPr>
          <w:rFonts w:ascii="Arial" w:eastAsia="Arial" w:hAnsi="Arial" w:cs="Arial"/>
        </w:rPr>
        <w:t>. Se evidencia que todas las estaciones registraron concentraciones dentro de los niveles del IBOCA ‘bajo’ y ‘moderado’, con registros en el  nivel de riesgo por exposición a la contaminación atmosférica ‘regular’ y  ‘alto’, específicamente de la zona suroccidente de la ciudad en la estación de Carvajal – Sevillana y la estación Móvil Fontibón ubicada en la zona noroccidente, especialmente para PM</w:t>
      </w:r>
      <w:r w:rsidRPr="00731DB9">
        <w:rPr>
          <w:rFonts w:ascii="Arial" w:eastAsia="Arial" w:hAnsi="Arial" w:cs="Arial"/>
          <w:vertAlign w:val="subscript"/>
        </w:rPr>
        <w:t>10</w:t>
      </w:r>
      <w:r w:rsidRPr="00731DB9">
        <w:rPr>
          <w:rFonts w:ascii="Arial" w:eastAsia="Arial" w:hAnsi="Arial" w:cs="Arial"/>
        </w:rPr>
        <w:t xml:space="preserve">, esto puede ser atribuido a las condiciones de ciudad en las que es habitual que estas estaciones presentan altas concentraciones por su cercanía a vías principales e industrias.  </w:t>
      </w:r>
    </w:p>
    <w:p w14:paraId="602D9E3E" w14:textId="77777777" w:rsidR="00C76429" w:rsidRPr="00731DB9" w:rsidRDefault="00C76429" w:rsidP="00C76429">
      <w:pPr>
        <w:spacing w:after="0" w:line="240" w:lineRule="auto"/>
        <w:jc w:val="both"/>
        <w:rPr>
          <w:rFonts w:ascii="Arial" w:eastAsia="Arial" w:hAnsi="Arial" w:cs="Arial"/>
        </w:rPr>
      </w:pPr>
    </w:p>
    <w:p w14:paraId="511C9D05" w14:textId="77777777" w:rsidR="00C76429" w:rsidRPr="00731DB9" w:rsidRDefault="00C76429" w:rsidP="00C76429">
      <w:pPr>
        <w:spacing w:after="0" w:line="240" w:lineRule="auto"/>
        <w:jc w:val="both"/>
        <w:rPr>
          <w:rFonts w:ascii="Arial" w:hAnsi="Arial" w:cs="Arial"/>
        </w:rPr>
      </w:pPr>
      <w:r w:rsidRPr="00731DB9">
        <w:rPr>
          <w:rFonts w:ascii="Arial" w:eastAsia="Arial" w:hAnsi="Arial" w:cs="Arial"/>
        </w:rPr>
        <w:t>En este mismo periodo se registraron 10 eventos de incendio reportados, clasificados en las categorías estructural, vehicular y por acumulación de llantas. Es importante resaltar que durante el mes no se cumplieron los criterios para la declaración de alertas por contaminación atmosférica.</w:t>
      </w:r>
    </w:p>
    <w:p w14:paraId="51C0A341" w14:textId="77777777" w:rsidR="00C76429" w:rsidRPr="00731DB9" w:rsidRDefault="00C76429" w:rsidP="00C76429">
      <w:pPr>
        <w:spacing w:after="0" w:line="240" w:lineRule="auto"/>
        <w:jc w:val="both"/>
        <w:rPr>
          <w:rFonts w:ascii="Arial" w:hAnsi="Arial" w:cs="Arial"/>
        </w:rPr>
      </w:pPr>
    </w:p>
    <w:p w14:paraId="6643D7AB" w14:textId="77777777" w:rsidR="00C76429" w:rsidRPr="00731DB9" w:rsidRDefault="00C76429" w:rsidP="00C76429">
      <w:pPr>
        <w:widowControl w:val="0"/>
        <w:spacing w:after="0" w:line="240" w:lineRule="auto"/>
        <w:jc w:val="both"/>
        <w:rPr>
          <w:rStyle w:val="Fuerte"/>
          <w:rFonts w:ascii="Arial" w:hAnsi="Arial" w:cs="Arial"/>
          <w:b w:val="0"/>
          <w:bCs w:val="0"/>
        </w:rPr>
      </w:pPr>
      <w:r w:rsidRPr="00731DB9">
        <w:rPr>
          <w:rFonts w:ascii="Arial" w:eastAsia="Times New Roman" w:hAnsi="Arial" w:cs="Arial"/>
          <w:b/>
          <w:i/>
          <w:lang w:eastAsia="es-CO"/>
        </w:rPr>
        <w:t>Condiciones meteorológicas:</w:t>
      </w:r>
      <w:r w:rsidRPr="00731DB9">
        <w:rPr>
          <w:rFonts w:ascii="Arial" w:eastAsia="Times New Roman" w:hAnsi="Arial" w:cs="Arial"/>
          <w:lang w:eastAsia="es-CO"/>
        </w:rPr>
        <w:t xml:space="preserve"> </w:t>
      </w:r>
      <w:r w:rsidRPr="00731DB9">
        <w:rPr>
          <w:rFonts w:ascii="Arial" w:eastAsia="Arial" w:hAnsi="Arial" w:cs="Arial"/>
        </w:rPr>
        <w:t xml:space="preserve">El análisis de los datos meteorológicos muestra que, para agosto, en cuanto a lluvias, se presenta la transición de periodo seco a periodos con lluvias, registrando acumulados más bajos en las zonas de influencia de las estaciones </w:t>
      </w:r>
      <w:r w:rsidRPr="00731DB9">
        <w:rPr>
          <w:rFonts w:ascii="Arial" w:hAnsi="Arial" w:cs="Arial"/>
        </w:rPr>
        <w:t xml:space="preserve">Colina </w:t>
      </w:r>
      <w:r w:rsidRPr="00731DB9">
        <w:rPr>
          <w:rStyle w:val="Fuerte"/>
          <w:rFonts w:ascii="Arial" w:hAnsi="Arial" w:cs="Arial"/>
        </w:rPr>
        <w:t>(33 mm), Usaquén (42 mm) y Guaymaral (42 mm)</w:t>
      </w:r>
      <w:r w:rsidRPr="00731DB9">
        <w:rPr>
          <w:rFonts w:ascii="Arial" w:hAnsi="Arial" w:cs="Arial"/>
          <w:b/>
          <w:bCs/>
        </w:rPr>
        <w:t>,</w:t>
      </w:r>
      <w:r w:rsidRPr="00731DB9">
        <w:rPr>
          <w:rFonts w:ascii="Arial" w:hAnsi="Arial" w:cs="Arial"/>
        </w:rPr>
        <w:t xml:space="preserve"> y las zonas con </w:t>
      </w:r>
      <w:r w:rsidRPr="00731DB9">
        <w:rPr>
          <w:rStyle w:val="Fuerte"/>
          <w:rFonts w:ascii="Arial" w:hAnsi="Arial" w:cs="Arial"/>
        </w:rPr>
        <w:t>acumulados más altos</w:t>
      </w:r>
      <w:r w:rsidRPr="00731DB9">
        <w:rPr>
          <w:rFonts w:ascii="Arial" w:hAnsi="Arial" w:cs="Arial"/>
        </w:rPr>
        <w:t xml:space="preserve"> se observaron en las estaciones </w:t>
      </w:r>
      <w:r w:rsidRPr="00731DB9">
        <w:rPr>
          <w:rStyle w:val="Fuerte"/>
          <w:rFonts w:ascii="Arial" w:hAnsi="Arial" w:cs="Arial"/>
        </w:rPr>
        <w:t>Carvajal – Sevillana (111 mm), Móvil y Puente Aranda (65 mm)</w:t>
      </w:r>
      <w:r w:rsidRPr="00731DB9">
        <w:rPr>
          <w:rFonts w:ascii="Arial" w:hAnsi="Arial" w:cs="Arial"/>
          <w:b/>
          <w:bCs/>
        </w:rPr>
        <w:t>.</w:t>
      </w:r>
      <w:r w:rsidRPr="00731DB9">
        <w:rPr>
          <w:rFonts w:ascii="Arial" w:hAnsi="Arial" w:cs="Arial"/>
        </w:rPr>
        <w:t xml:space="preserve"> Ahora con relación a la temperatura superficial, </w:t>
      </w:r>
      <w:r w:rsidRPr="00731DB9">
        <w:rPr>
          <w:rFonts w:ascii="Arial" w:hAnsi="Arial" w:cs="Arial"/>
          <w:lang w:val="es-MX"/>
        </w:rPr>
        <w:t xml:space="preserve">mostraron un comportamiento estable, registrando </w:t>
      </w:r>
      <w:r w:rsidRPr="00731DB9">
        <w:rPr>
          <w:rStyle w:val="Fuerte"/>
          <w:rFonts w:ascii="Arial" w:hAnsi="Arial" w:cs="Arial"/>
        </w:rPr>
        <w:t>temperaturas bajas</w:t>
      </w:r>
      <w:r w:rsidRPr="00731DB9">
        <w:rPr>
          <w:rFonts w:ascii="Arial" w:hAnsi="Arial" w:cs="Arial"/>
          <w:b/>
          <w:bCs/>
        </w:rPr>
        <w:t xml:space="preserve"> </w:t>
      </w:r>
      <w:r w:rsidRPr="00731DB9">
        <w:rPr>
          <w:rFonts w:ascii="Arial" w:hAnsi="Arial" w:cs="Arial"/>
        </w:rPr>
        <w:t>en las estaciones</w:t>
      </w:r>
      <w:r w:rsidRPr="00731DB9">
        <w:rPr>
          <w:rFonts w:ascii="Arial" w:hAnsi="Arial" w:cs="Arial"/>
          <w:b/>
          <w:bCs/>
        </w:rPr>
        <w:t xml:space="preserve"> </w:t>
      </w:r>
      <w:r w:rsidRPr="00731DB9">
        <w:rPr>
          <w:rStyle w:val="Fuerte"/>
          <w:rFonts w:ascii="Arial" w:hAnsi="Arial" w:cs="Arial"/>
        </w:rPr>
        <w:t>CDAR (13,0 °C), San Cristóbal (13,3 °C) y Usaquén (13,4 °C)</w:t>
      </w:r>
      <w:r w:rsidRPr="00731DB9">
        <w:rPr>
          <w:rFonts w:ascii="Arial" w:hAnsi="Arial" w:cs="Arial"/>
          <w:b/>
          <w:bCs/>
        </w:rPr>
        <w:t>,</w:t>
      </w:r>
      <w:r w:rsidRPr="00731DB9">
        <w:rPr>
          <w:rFonts w:ascii="Arial" w:hAnsi="Arial" w:cs="Arial"/>
        </w:rPr>
        <w:t xml:space="preserve"> y en el resto de la ciudad, las </w:t>
      </w:r>
      <w:r w:rsidRPr="00731DB9">
        <w:rPr>
          <w:rStyle w:val="Fuerte"/>
          <w:rFonts w:ascii="Arial" w:hAnsi="Arial" w:cs="Arial"/>
        </w:rPr>
        <w:t>temperaturas medias superficiales</w:t>
      </w:r>
      <w:r w:rsidRPr="00731DB9">
        <w:rPr>
          <w:rFonts w:ascii="Arial" w:hAnsi="Arial" w:cs="Arial"/>
        </w:rPr>
        <w:t xml:space="preserve"> oscilaron entre </w:t>
      </w:r>
      <w:r w:rsidRPr="00731DB9">
        <w:rPr>
          <w:rStyle w:val="Fuerte"/>
          <w:rFonts w:ascii="Arial" w:hAnsi="Arial" w:cs="Arial"/>
        </w:rPr>
        <w:t>14,0 °C y 15,8 °C</w:t>
      </w:r>
      <w:r w:rsidRPr="00731DB9">
        <w:rPr>
          <w:rFonts w:ascii="Arial" w:hAnsi="Arial" w:cs="Arial"/>
        </w:rPr>
        <w:t xml:space="preserve">, destacándose en estaciones como </w:t>
      </w:r>
      <w:r w:rsidRPr="00731DB9">
        <w:rPr>
          <w:rStyle w:val="Fuerte"/>
          <w:rFonts w:ascii="Arial" w:hAnsi="Arial" w:cs="Arial"/>
        </w:rPr>
        <w:lastRenderedPageBreak/>
        <w:t>Carvajal-Sevillana (15,5 °C), Jazmín (15,3 °C) y Puente Aranda (15,2 °C) y Móvil (15,8 °C).</w:t>
      </w:r>
    </w:p>
    <w:p w14:paraId="53B599E8" w14:textId="77777777" w:rsidR="00C76429" w:rsidRPr="00731DB9" w:rsidRDefault="00C76429" w:rsidP="00C76429">
      <w:pPr>
        <w:widowControl w:val="0"/>
        <w:spacing w:after="0" w:line="240" w:lineRule="auto"/>
        <w:jc w:val="both"/>
        <w:rPr>
          <w:rStyle w:val="Fuerte"/>
          <w:rFonts w:ascii="Arial" w:hAnsi="Arial" w:cs="Arial"/>
          <w:b w:val="0"/>
          <w:bCs w:val="0"/>
          <w:lang w:val="es-MX"/>
        </w:rPr>
      </w:pPr>
    </w:p>
    <w:p w14:paraId="78DE2A80" w14:textId="77777777" w:rsidR="00C76429" w:rsidRPr="00731DB9" w:rsidRDefault="00C76429" w:rsidP="00C76429">
      <w:pPr>
        <w:spacing w:after="0" w:line="240" w:lineRule="auto"/>
        <w:jc w:val="both"/>
        <w:rPr>
          <w:rFonts w:ascii="Arial" w:hAnsi="Arial" w:cs="Arial"/>
        </w:rPr>
      </w:pPr>
      <w:r w:rsidRPr="00731DB9">
        <w:rPr>
          <w:rFonts w:ascii="Arial" w:hAnsi="Arial" w:cs="Arial"/>
        </w:rPr>
        <w:t>Con relación a la velocidad del viento, se mantuvieron predominantes desde</w:t>
      </w:r>
      <w:r w:rsidRPr="00731DB9">
        <w:rPr>
          <w:rStyle w:val="Fuerte"/>
          <w:rFonts w:ascii="Arial" w:hAnsi="Arial" w:cs="Arial"/>
        </w:rPr>
        <w:t xml:space="preserve"> el sur y centro oriente de la ciudad,</w:t>
      </w:r>
      <w:r w:rsidRPr="00731DB9">
        <w:rPr>
          <w:rFonts w:ascii="Arial" w:hAnsi="Arial" w:cs="Arial"/>
          <w:b/>
          <w:bCs/>
        </w:rPr>
        <w:t xml:space="preserve"> </w:t>
      </w:r>
      <w:r w:rsidRPr="00731DB9">
        <w:rPr>
          <w:rStyle w:val="Fuerte"/>
          <w:rFonts w:ascii="Arial" w:hAnsi="Arial" w:cs="Arial"/>
        </w:rPr>
        <w:t>a lo largo de los cerros orientales</w:t>
      </w:r>
      <w:r w:rsidRPr="00731DB9">
        <w:rPr>
          <w:rFonts w:ascii="Arial" w:hAnsi="Arial" w:cs="Arial"/>
          <w:b/>
          <w:bCs/>
        </w:rPr>
        <w:t>,</w:t>
      </w:r>
      <w:r w:rsidRPr="00731DB9">
        <w:rPr>
          <w:rFonts w:ascii="Arial" w:hAnsi="Arial" w:cs="Arial"/>
        </w:rPr>
        <w:t xml:space="preserve"> favoreciendo la depuración aerodinámica de la ciudad velocidades medias oscilaron entre 0,7 m/s en la estación Móvil y 2,5 m/s en la estación Fontibón. En el resto de estaciones predominaron velocidades entre 1,2 y 1,9 m/s en la mayoría de estaciones.</w:t>
      </w:r>
    </w:p>
    <w:p w14:paraId="15ACF63E" w14:textId="77777777" w:rsidR="00E96167" w:rsidRDefault="00E96167"/>
    <w:sectPr w:rsidR="00E96167">
      <w:pgSz w:w="12240" w:h="15840"/>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Johanna Paola Abella Gamba" w:date="2026-04-16T20:21:00Z" w:initials="JPAG">
    <w:p w14:paraId="4D75A456" w14:textId="77777777" w:rsidR="00C76429" w:rsidRDefault="00C76429" w:rsidP="00C76429">
      <w:r>
        <w:rPr>
          <w:rStyle w:val="Refdecomentario"/>
        </w:rPr>
        <w:annotationRef/>
      </w:r>
      <w:r>
        <w:rPr>
          <w:sz w:val="20"/>
          <w:szCs w:val="20"/>
        </w:rPr>
        <w:t>Cambiar a 23:59, dado que las 24 en la hora legal son 00:00</w:t>
      </w:r>
    </w:p>
  </w:comment>
  <w:comment w:id="1" w:author="Johanna Paola Abella Gamba" w:date="2026-04-16T20:22:00Z" w:initials="JPAG">
    <w:p w14:paraId="39946ABD" w14:textId="77777777" w:rsidR="00C76429" w:rsidRDefault="00C76429" w:rsidP="00C76429">
      <w:r>
        <w:rPr>
          <w:rStyle w:val="Refdecomentario"/>
        </w:rPr>
        <w:annotationRef/>
      </w:r>
      <w:r>
        <w:rPr>
          <w:sz w:val="20"/>
          <w:szCs w:val="20"/>
        </w:rPr>
        <w:t>Revisar esta información, ya que no concuerda con los resultados  presentados en el informe mensual de calidad del aire (revisar los respectivos items)</w:t>
      </w:r>
    </w:p>
  </w:comment>
  <w:comment w:id="2" w:author="Johanna Paola Abella Gamba" w:date="2026-04-16T20:25:00Z" w:initials="JPAG">
    <w:p w14:paraId="201AA210" w14:textId="77777777" w:rsidR="00C76429" w:rsidRDefault="00C76429" w:rsidP="00C76429">
      <w:r>
        <w:rPr>
          <w:rStyle w:val="Refdecomentario"/>
        </w:rPr>
        <w:annotationRef/>
      </w:r>
      <w:r>
        <w:rPr>
          <w:sz w:val="20"/>
          <w:szCs w:val="20"/>
        </w:rPr>
        <w:t xml:space="preserve">Revisar, ya que en la figura 3 del informe  pareciera que se presentaron 3 eventos </w:t>
      </w:r>
    </w:p>
  </w:comment>
  <w:comment w:id="3" w:author="Johanna Paola Abella Gamba" w:date="2026-04-16T20:27:00Z" w:initials="JPAG">
    <w:p w14:paraId="620800C1" w14:textId="77777777" w:rsidR="00C76429" w:rsidRDefault="00C76429" w:rsidP="00C76429">
      <w:r>
        <w:rPr>
          <w:rStyle w:val="Refdecomentario"/>
        </w:rPr>
        <w:annotationRef/>
      </w:r>
      <w:r>
        <w:rPr>
          <w:sz w:val="20"/>
          <w:szCs w:val="20"/>
        </w:rPr>
        <w:t>35 % de datos invalidados o validados? Resulta confuso a que corresponde este este porcentaje</w:t>
      </w:r>
    </w:p>
  </w:comment>
  <w:comment w:id="4" w:author="Johanna Paola Abella Gamba" w:date="2026-04-16T20:27:00Z" w:initials="JPAG">
    <w:p w14:paraId="261F07FA" w14:textId="77777777" w:rsidR="00C76429" w:rsidRDefault="00C76429" w:rsidP="00C76429">
      <w:r>
        <w:rPr>
          <w:rStyle w:val="Refdecomentario"/>
        </w:rPr>
        <w:annotationRef/>
      </w:r>
      <w:r>
        <w:rPr>
          <w:sz w:val="20"/>
          <w:szCs w:val="20"/>
        </w:rPr>
        <w:t>Completar el texto</w:t>
      </w:r>
    </w:p>
  </w:comment>
  <w:comment w:id="5" w:author="Johanna Paola Abella Gamba" w:date="2026-04-16T20:32:00Z" w:initials="JPAG">
    <w:p w14:paraId="0EF8CCCA" w14:textId="77777777" w:rsidR="00C76429" w:rsidRDefault="00C76429" w:rsidP="00C76429">
      <w:r>
        <w:rPr>
          <w:rStyle w:val="Refdecomentario"/>
        </w:rPr>
        <w:annotationRef/>
      </w:r>
      <w:r>
        <w:rPr>
          <w:sz w:val="20"/>
          <w:szCs w:val="20"/>
        </w:rPr>
        <w:t>De este texto me surgen varios interrogantes: 1. por qué no se realizó control de la T interna?; 2. Por qué hay invalidación de datos por debajo del LD?; 3. Si la  Desvest en un criterio de invalidación indicar que la variación de temperatura fue superior a XXX, 4. cuando mencionan "de la estación" a que estación hacen referencia o esto pasó en varias estaciones?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D75A456" w15:done="0"/>
  <w15:commentEx w15:paraId="39946ABD" w15:done="0"/>
  <w15:commentEx w15:paraId="201AA210" w15:done="0"/>
  <w15:commentEx w15:paraId="620800C1" w15:done="0"/>
  <w15:commentEx w15:paraId="261F07FA" w15:done="0"/>
  <w15:commentEx w15:paraId="0EF8CCC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A607F00" w16cex:dateUtc="2026-04-17T01:21:00Z"/>
  <w16cex:commentExtensible w16cex:durableId="424CD0DB" w16cex:dateUtc="2026-04-17T01:22:00Z"/>
  <w16cex:commentExtensible w16cex:durableId="67844A87" w16cex:dateUtc="2026-04-17T01:25:00Z"/>
  <w16cex:commentExtensible w16cex:durableId="16E9A5C8" w16cex:dateUtc="2026-04-17T01:27:00Z"/>
  <w16cex:commentExtensible w16cex:durableId="23525982" w16cex:dateUtc="2026-04-17T01:27:00Z"/>
  <w16cex:commentExtensible w16cex:durableId="0F4BE679" w16cex:dateUtc="2026-04-17T0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D75A456" w16cid:durableId="4A607F00"/>
  <w16cid:commentId w16cid:paraId="39946ABD" w16cid:durableId="424CD0DB"/>
  <w16cid:commentId w16cid:paraId="201AA210" w16cid:durableId="67844A87"/>
  <w16cid:commentId w16cid:paraId="620800C1" w16cid:durableId="16E9A5C8"/>
  <w16cid:commentId w16cid:paraId="261F07FA" w16cid:durableId="23525982"/>
  <w16cid:commentId w16cid:paraId="0EF8CCCA" w16cid:durableId="0F4BE679"/>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5D3DFF"/>
    <w:multiLevelType w:val="hybridMultilevel"/>
    <w:tmpl w:val="B3765CAC"/>
    <w:lvl w:ilvl="0" w:tplc="643E1FBA">
      <w:start w:val="1"/>
      <w:numFmt w:val="bullet"/>
      <w:lvlText w:val=""/>
      <w:lvlJc w:val="left"/>
      <w:pPr>
        <w:ind w:left="578" w:hanging="360"/>
      </w:pPr>
      <w:rPr>
        <w:rFonts w:ascii="Symbol" w:hAnsi="Symbol" w:hint="default"/>
        <w:color w:val="000000" w:themeColor="text1"/>
      </w:rPr>
    </w:lvl>
    <w:lvl w:ilvl="1" w:tplc="6D4A4842" w:tentative="1">
      <w:start w:val="1"/>
      <w:numFmt w:val="bullet"/>
      <w:lvlText w:val="o"/>
      <w:lvlJc w:val="left"/>
      <w:pPr>
        <w:ind w:left="1298" w:hanging="360"/>
      </w:pPr>
      <w:rPr>
        <w:rFonts w:ascii="Courier New" w:hAnsi="Courier New" w:cs="Courier New" w:hint="default"/>
      </w:rPr>
    </w:lvl>
    <w:lvl w:ilvl="2" w:tplc="7BA60A46" w:tentative="1">
      <w:start w:val="1"/>
      <w:numFmt w:val="bullet"/>
      <w:lvlText w:val=""/>
      <w:lvlJc w:val="left"/>
      <w:pPr>
        <w:ind w:left="2018" w:hanging="360"/>
      </w:pPr>
      <w:rPr>
        <w:rFonts w:ascii="Wingdings" w:hAnsi="Wingdings" w:hint="default"/>
      </w:rPr>
    </w:lvl>
    <w:lvl w:ilvl="3" w:tplc="6530776C" w:tentative="1">
      <w:start w:val="1"/>
      <w:numFmt w:val="bullet"/>
      <w:lvlText w:val=""/>
      <w:lvlJc w:val="left"/>
      <w:pPr>
        <w:ind w:left="2738" w:hanging="360"/>
      </w:pPr>
      <w:rPr>
        <w:rFonts w:ascii="Symbol" w:hAnsi="Symbol" w:hint="default"/>
      </w:rPr>
    </w:lvl>
    <w:lvl w:ilvl="4" w:tplc="06A8B56A" w:tentative="1">
      <w:start w:val="1"/>
      <w:numFmt w:val="bullet"/>
      <w:lvlText w:val="o"/>
      <w:lvlJc w:val="left"/>
      <w:pPr>
        <w:ind w:left="3458" w:hanging="360"/>
      </w:pPr>
      <w:rPr>
        <w:rFonts w:ascii="Courier New" w:hAnsi="Courier New" w:cs="Courier New" w:hint="default"/>
      </w:rPr>
    </w:lvl>
    <w:lvl w:ilvl="5" w:tplc="216A43AA" w:tentative="1">
      <w:start w:val="1"/>
      <w:numFmt w:val="bullet"/>
      <w:lvlText w:val=""/>
      <w:lvlJc w:val="left"/>
      <w:pPr>
        <w:ind w:left="4178" w:hanging="360"/>
      </w:pPr>
      <w:rPr>
        <w:rFonts w:ascii="Wingdings" w:hAnsi="Wingdings" w:hint="default"/>
      </w:rPr>
    </w:lvl>
    <w:lvl w:ilvl="6" w:tplc="1D64FDAC" w:tentative="1">
      <w:start w:val="1"/>
      <w:numFmt w:val="bullet"/>
      <w:lvlText w:val=""/>
      <w:lvlJc w:val="left"/>
      <w:pPr>
        <w:ind w:left="4898" w:hanging="360"/>
      </w:pPr>
      <w:rPr>
        <w:rFonts w:ascii="Symbol" w:hAnsi="Symbol" w:hint="default"/>
      </w:rPr>
    </w:lvl>
    <w:lvl w:ilvl="7" w:tplc="56E8665C" w:tentative="1">
      <w:start w:val="1"/>
      <w:numFmt w:val="bullet"/>
      <w:lvlText w:val="o"/>
      <w:lvlJc w:val="left"/>
      <w:pPr>
        <w:ind w:left="5618" w:hanging="360"/>
      </w:pPr>
      <w:rPr>
        <w:rFonts w:ascii="Courier New" w:hAnsi="Courier New" w:cs="Courier New" w:hint="default"/>
      </w:rPr>
    </w:lvl>
    <w:lvl w:ilvl="8" w:tplc="51EAE182" w:tentative="1">
      <w:start w:val="1"/>
      <w:numFmt w:val="bullet"/>
      <w:lvlText w:val=""/>
      <w:lvlJc w:val="left"/>
      <w:pPr>
        <w:ind w:left="6338" w:hanging="360"/>
      </w:pPr>
      <w:rPr>
        <w:rFonts w:ascii="Wingdings" w:hAnsi="Wingdings" w:hint="default"/>
      </w:rPr>
    </w:lvl>
  </w:abstractNum>
  <w:num w:numId="1" w16cid:durableId="5661163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anna Paola Abella Gamba">
    <w15:presenceInfo w15:providerId="AD" w15:userId="S::JPAbella@minambiente.gov.co::5ce0b9c9-74e6-4e47-acc9-b0d951e697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6429"/>
    <w:rsid w:val="00021DBB"/>
    <w:rsid w:val="00283904"/>
    <w:rsid w:val="003E6D0A"/>
    <w:rsid w:val="005B46D5"/>
    <w:rsid w:val="00C76429"/>
    <w:rsid w:val="00E96167"/>
    <w:rsid w:val="00F762B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4:docId w14:val="1CC63289"/>
  <w15:chartTrackingRefBased/>
  <w15:docId w15:val="{A627ACA3-85CF-FB4B-B852-660B25F79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429"/>
    <w:pPr>
      <w:spacing w:after="200" w:line="276" w:lineRule="auto"/>
    </w:pPr>
    <w:rPr>
      <w:rFonts w:ascii="Calibri" w:eastAsia="Calibri" w:hAnsi="Calibri" w:cs="Times New Roman"/>
      <w:kern w:val="0"/>
      <w:sz w:val="22"/>
      <w:szCs w:val="22"/>
      <w:lang w:val="es-ES"/>
      <w14:ligatures w14:val="none"/>
    </w:rPr>
  </w:style>
  <w:style w:type="paragraph" w:styleId="Ttulo1">
    <w:name w:val="heading 1"/>
    <w:basedOn w:val="Normal"/>
    <w:next w:val="Normal"/>
    <w:link w:val="Ttulo1Car"/>
    <w:uiPriority w:val="9"/>
    <w:qFormat/>
    <w:rsid w:val="00C7642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C7642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C7642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C7642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C7642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C7642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7642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7642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76429"/>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7642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C7642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C7642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C7642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C7642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C7642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7642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7642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76429"/>
    <w:rPr>
      <w:rFonts w:eastAsiaTheme="majorEastAsia" w:cstheme="majorBidi"/>
      <w:color w:val="272727" w:themeColor="text1" w:themeTint="D8"/>
    </w:rPr>
  </w:style>
  <w:style w:type="paragraph" w:styleId="Ttulo">
    <w:name w:val="Title"/>
    <w:basedOn w:val="Normal"/>
    <w:next w:val="Normal"/>
    <w:link w:val="TtuloCar"/>
    <w:uiPriority w:val="10"/>
    <w:qFormat/>
    <w:rsid w:val="00C7642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7642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76429"/>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7642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76429"/>
    <w:pPr>
      <w:spacing w:before="160"/>
      <w:jc w:val="center"/>
    </w:pPr>
    <w:rPr>
      <w:i/>
      <w:iCs/>
      <w:color w:val="404040" w:themeColor="text1" w:themeTint="BF"/>
    </w:rPr>
  </w:style>
  <w:style w:type="character" w:customStyle="1" w:styleId="CitaCar">
    <w:name w:val="Cita Car"/>
    <w:basedOn w:val="Fuentedeprrafopredeter"/>
    <w:link w:val="Cita"/>
    <w:uiPriority w:val="29"/>
    <w:rsid w:val="00C76429"/>
    <w:rPr>
      <w:i/>
      <w:iCs/>
      <w:color w:val="404040" w:themeColor="text1" w:themeTint="BF"/>
    </w:rPr>
  </w:style>
  <w:style w:type="paragraph" w:styleId="Prrafodelista">
    <w:name w:val="List Paragraph"/>
    <w:aliases w:val="Bullet List,Colorful List - Accent 11,Colorful List Accent 1,FooterText,HOJA,Ha,LISTA,List Paragraph1,Paragraphe de liste1,Resume Title,Titulo 2,cuadro,figura,lp1,numbered,titulo 3"/>
    <w:basedOn w:val="Normal"/>
    <w:link w:val="PrrafodelistaCar"/>
    <w:uiPriority w:val="34"/>
    <w:qFormat/>
    <w:rsid w:val="00C76429"/>
    <w:pPr>
      <w:ind w:left="720"/>
      <w:contextualSpacing/>
    </w:pPr>
  </w:style>
  <w:style w:type="character" w:styleId="nfasisintenso">
    <w:name w:val="Intense Emphasis"/>
    <w:basedOn w:val="Fuentedeprrafopredeter"/>
    <w:uiPriority w:val="21"/>
    <w:qFormat/>
    <w:rsid w:val="00C76429"/>
    <w:rPr>
      <w:i/>
      <w:iCs/>
      <w:color w:val="0F4761" w:themeColor="accent1" w:themeShade="BF"/>
    </w:rPr>
  </w:style>
  <w:style w:type="paragraph" w:styleId="Citadestacada">
    <w:name w:val="Intense Quote"/>
    <w:basedOn w:val="Normal"/>
    <w:next w:val="Normal"/>
    <w:link w:val="CitadestacadaCar"/>
    <w:uiPriority w:val="30"/>
    <w:qFormat/>
    <w:rsid w:val="00C7642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C76429"/>
    <w:rPr>
      <w:i/>
      <w:iCs/>
      <w:color w:val="0F4761" w:themeColor="accent1" w:themeShade="BF"/>
    </w:rPr>
  </w:style>
  <w:style w:type="character" w:styleId="Referenciaintensa">
    <w:name w:val="Intense Reference"/>
    <w:basedOn w:val="Fuentedeprrafopredeter"/>
    <w:uiPriority w:val="32"/>
    <w:qFormat/>
    <w:rsid w:val="00C76429"/>
    <w:rPr>
      <w:b/>
      <w:bCs/>
      <w:smallCaps/>
      <w:color w:val="0F4761" w:themeColor="accent1" w:themeShade="BF"/>
      <w:spacing w:val="5"/>
    </w:rPr>
  </w:style>
  <w:style w:type="character" w:customStyle="1" w:styleId="PrrafodelistaCar">
    <w:name w:val="Párrafo de lista Car"/>
    <w:aliases w:val="Bullet List Car,Colorful List - Accent 11 Car,Colorful List Accent 1 Car,FooterText Car,HOJA Car,Ha Car,LISTA Car,List Paragraph1 Car,Paragraphe de liste1 Car,Resume Title Car,Titulo 2 Car,cuadro Car,figura Car,lp1 Car,numbered Car"/>
    <w:basedOn w:val="Fuentedeprrafopredeter"/>
    <w:link w:val="Prrafodelista"/>
    <w:uiPriority w:val="34"/>
    <w:qFormat/>
    <w:rsid w:val="00C76429"/>
  </w:style>
  <w:style w:type="character" w:customStyle="1" w:styleId="normaltextrun">
    <w:name w:val="normaltextrun"/>
    <w:basedOn w:val="Fuentedeprrafopredeter"/>
    <w:rsid w:val="00C76429"/>
  </w:style>
  <w:style w:type="paragraph" w:styleId="NormalWeb">
    <w:name w:val="Normal (Web)"/>
    <w:basedOn w:val="Normal"/>
    <w:uiPriority w:val="99"/>
    <w:unhideWhenUsed/>
    <w:qFormat/>
    <w:rsid w:val="00C76429"/>
    <w:pPr>
      <w:spacing w:before="100" w:beforeAutospacing="1" w:after="100" w:afterAutospacing="1" w:line="240" w:lineRule="auto"/>
    </w:pPr>
    <w:rPr>
      <w:rFonts w:ascii="Times New Roman" w:eastAsia="Times New Roman" w:hAnsi="Times New Roman"/>
      <w:sz w:val="24"/>
      <w:szCs w:val="24"/>
      <w:lang w:val="es-CO" w:eastAsia="es-CO"/>
    </w:rPr>
  </w:style>
  <w:style w:type="character" w:styleId="Fuerte">
    <w:name w:val="Strong"/>
    <w:basedOn w:val="Fuentedeprrafopredeter"/>
    <w:uiPriority w:val="22"/>
    <w:qFormat/>
    <w:rsid w:val="00C76429"/>
    <w:rPr>
      <w:b/>
      <w:bCs/>
    </w:rPr>
  </w:style>
  <w:style w:type="character" w:styleId="Refdecomentario">
    <w:name w:val="annotation reference"/>
    <w:basedOn w:val="Fuentedeprrafopredeter"/>
    <w:uiPriority w:val="99"/>
    <w:semiHidden/>
    <w:unhideWhenUsed/>
    <w:rsid w:val="00C76429"/>
    <w:rPr>
      <w:sz w:val="16"/>
      <w:szCs w:val="16"/>
    </w:rPr>
  </w:style>
  <w:style w:type="paragraph" w:styleId="Textocomentario">
    <w:name w:val="annotation text"/>
    <w:basedOn w:val="Normal"/>
    <w:link w:val="TextocomentarioCar"/>
    <w:uiPriority w:val="99"/>
    <w:semiHidden/>
    <w:unhideWhenUsed/>
    <w:rsid w:val="00C76429"/>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C76429"/>
    <w:rPr>
      <w:rFonts w:ascii="Calibri" w:eastAsia="Calibri" w:hAnsi="Calibri" w:cs="Times New Roman"/>
      <w:kern w:val="0"/>
      <w:sz w:val="20"/>
      <w:szCs w:val="20"/>
      <w:lang w:val="es-ES"/>
      <w14:ligatures w14:val="none"/>
    </w:rPr>
  </w:style>
  <w:style w:type="paragraph" w:styleId="Asuntodelcomentario">
    <w:name w:val="annotation subject"/>
    <w:basedOn w:val="Textocomentario"/>
    <w:next w:val="Textocomentario"/>
    <w:link w:val="AsuntodelcomentarioCar"/>
    <w:uiPriority w:val="99"/>
    <w:semiHidden/>
    <w:unhideWhenUsed/>
    <w:rsid w:val="00C76429"/>
    <w:rPr>
      <w:b/>
      <w:bCs/>
    </w:rPr>
  </w:style>
  <w:style w:type="character" w:customStyle="1" w:styleId="AsuntodelcomentarioCar">
    <w:name w:val="Asunto del comentario Car"/>
    <w:basedOn w:val="TextocomentarioCar"/>
    <w:link w:val="Asuntodelcomentario"/>
    <w:uiPriority w:val="99"/>
    <w:semiHidden/>
    <w:rsid w:val="00C76429"/>
    <w:rPr>
      <w:rFonts w:ascii="Calibri" w:eastAsia="Calibri" w:hAnsi="Calibri" w:cs="Times New Roman"/>
      <w:b/>
      <w:bCs/>
      <w:kern w:val="0"/>
      <w:sz w:val="20"/>
      <w:szCs w:val="20"/>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1029</Words>
  <Characters>6211</Characters>
  <Application>Microsoft Office Word</Application>
  <DocSecurity>0</DocSecurity>
  <Lines>141</Lines>
  <Paragraphs>53</Paragraphs>
  <ScaleCrop>false</ScaleCrop>
  <Company/>
  <LinksUpToDate>false</LinksUpToDate>
  <CharactersWithSpaces>7187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Johanna Paola Abella Gamba</dc:creator>
  <cp:keywords/>
  <dc:description/>
  <cp:lastModifiedBy>Johanna Paola Abella Gamba</cp:lastModifiedBy>
  <cp:revision>1</cp:revision>
  <dcterms:created xsi:type="dcterms:W3CDTF">2026-04-17T01:18:00Z</dcterms:created>
  <dcterms:modified xsi:type="dcterms:W3CDTF">2026-04-17T02:57:00Z</dcterms:modified>
</cp:coreProperties>
</file>